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5398" w14:textId="77777777" w:rsidR="000E4DDC" w:rsidRPr="008B4524" w:rsidRDefault="000E4DDC" w:rsidP="000E4DDC">
      <w:pPr>
        <w:pStyle w:val="Heading2"/>
        <w:ind w:left="720"/>
        <w:rPr>
          <w:rFonts w:asciiTheme="minorHAnsi" w:hAnsiTheme="minorHAnsi" w:cstheme="minorHAnsi"/>
          <w:sz w:val="22"/>
          <w:szCs w:val="22"/>
        </w:rPr>
      </w:pPr>
      <w:r w:rsidRPr="008B4524">
        <w:rPr>
          <w:rFonts w:asciiTheme="minorHAnsi" w:hAnsiTheme="minorHAnsi" w:cstheme="minorHAnsi"/>
          <w:sz w:val="22"/>
          <w:szCs w:val="22"/>
        </w:rPr>
        <w:t>FAQs</w:t>
      </w:r>
    </w:p>
    <w:p w14:paraId="770BA849" w14:textId="77777777" w:rsidR="000E4DDC" w:rsidRPr="008B4524" w:rsidRDefault="000E4DDC" w:rsidP="000E4DDC">
      <w:pPr>
        <w:pStyle w:val="Heading4"/>
        <w:ind w:left="990"/>
        <w:rPr>
          <w:rFonts w:asciiTheme="minorHAnsi" w:hAnsiTheme="minorHAnsi" w:cstheme="minorHAnsi"/>
        </w:rPr>
      </w:pPr>
      <w:r w:rsidRPr="008B4524">
        <w:rPr>
          <w:rFonts w:asciiTheme="minorHAnsi" w:hAnsiTheme="minorHAnsi" w:cstheme="minorHAnsi"/>
        </w:rPr>
        <w:t>What are the different methods of annexation?</w:t>
      </w:r>
    </w:p>
    <w:p w14:paraId="1543EFF5" w14:textId="77777777" w:rsidR="000E4DDC" w:rsidRPr="008B4524" w:rsidRDefault="000E4DDC" w:rsidP="000E4DDC">
      <w:pPr>
        <w:ind w:left="990"/>
        <w:rPr>
          <w:rFonts w:cstheme="minorHAnsi"/>
        </w:rPr>
      </w:pPr>
      <w:r w:rsidRPr="008B4524">
        <w:rPr>
          <w:rFonts w:cstheme="minorHAnsi"/>
        </w:rPr>
        <w:t xml:space="preserve">The city of Helena may choose to annex any property in accordance with the provisions of the following state statutes: </w:t>
      </w:r>
    </w:p>
    <w:p w14:paraId="6A595228" w14:textId="77777777" w:rsidR="000E4DDC" w:rsidRPr="008B4524" w:rsidRDefault="000E4DDC" w:rsidP="000E4DDC">
      <w:pPr>
        <w:pStyle w:val="ListParagraph"/>
        <w:numPr>
          <w:ilvl w:val="0"/>
          <w:numId w:val="17"/>
        </w:numPr>
        <w:ind w:left="1350"/>
        <w:rPr>
          <w:rFonts w:cstheme="minorHAnsi"/>
        </w:rPr>
      </w:pPr>
      <w:r w:rsidRPr="008B4524">
        <w:rPr>
          <w:rFonts w:cstheme="minorHAnsi"/>
        </w:rPr>
        <w:t>Annexation by Petition (</w:t>
      </w:r>
      <w:hyperlink r:id="rId5" w:history="1">
        <w:r w:rsidRPr="008B4524">
          <w:rPr>
            <w:rStyle w:val="Hyperlink"/>
            <w:rFonts w:cstheme="minorHAnsi"/>
          </w:rPr>
          <w:t>76-2-4601 et. seq., MCA</w:t>
        </w:r>
      </w:hyperlink>
      <w:r w:rsidRPr="008B4524">
        <w:rPr>
          <w:rFonts w:cstheme="minorHAnsi"/>
        </w:rPr>
        <w:t>)</w:t>
      </w:r>
    </w:p>
    <w:p w14:paraId="7FB1C5A8" w14:textId="77777777" w:rsidR="000E4DDC" w:rsidRPr="008B4524" w:rsidRDefault="000E4DDC" w:rsidP="000E4DDC">
      <w:pPr>
        <w:ind w:left="990"/>
        <w:rPr>
          <w:rFonts w:cstheme="minorHAnsi"/>
        </w:rPr>
      </w:pPr>
      <w:r w:rsidRPr="008B4524">
        <w:rPr>
          <w:rFonts w:cstheme="minorHAnsi"/>
        </w:rPr>
        <w:t xml:space="preserve">A request to have property included in the Helena city limits in order to receive city services is also known as Annexation by Petition, the most common form of annexation.   In order to understand the requirements for annexation by petition, please refer to 6-5 of the </w:t>
      </w:r>
      <w:hyperlink r:id="rId6" w:history="1">
        <w:r w:rsidRPr="008B4524">
          <w:rPr>
            <w:rStyle w:val="Hyperlink"/>
            <w:rFonts w:cstheme="minorHAnsi"/>
          </w:rPr>
          <w:t>Helena City Code</w:t>
        </w:r>
      </w:hyperlink>
      <w:r w:rsidRPr="008B4524">
        <w:rPr>
          <w:rFonts w:cstheme="minorHAnsi"/>
        </w:rPr>
        <w:t>, relating to the extension of the Water and Wastewater Service Area.  This action is often done in conjunction with the annexation of properties that are not receiving City water and/or wastewater services.</w:t>
      </w:r>
    </w:p>
    <w:p w14:paraId="61F8CB45" w14:textId="77777777" w:rsidR="000E4DDC" w:rsidRPr="008B4524" w:rsidRDefault="000E4DDC" w:rsidP="000E4DDC">
      <w:pPr>
        <w:pStyle w:val="ListParagraph"/>
        <w:numPr>
          <w:ilvl w:val="0"/>
          <w:numId w:val="16"/>
        </w:numPr>
        <w:ind w:left="1350"/>
        <w:rPr>
          <w:rFonts w:cstheme="minorHAnsi"/>
        </w:rPr>
      </w:pPr>
      <w:r w:rsidRPr="008B4524">
        <w:rPr>
          <w:rFonts w:cstheme="minorHAnsi"/>
        </w:rPr>
        <w:t>Annexations of Additions to Municipalities (</w:t>
      </w:r>
      <w:hyperlink r:id="rId7" w:history="1">
        <w:r w:rsidRPr="008B4524">
          <w:rPr>
            <w:rStyle w:val="Hyperlink"/>
            <w:rFonts w:cstheme="minorHAnsi"/>
          </w:rPr>
          <w:t>76-2-4201 et. seq., MCA</w:t>
        </w:r>
      </w:hyperlink>
      <w:r w:rsidRPr="008B4524">
        <w:rPr>
          <w:rFonts w:cstheme="minorHAnsi"/>
        </w:rPr>
        <w:t>)</w:t>
      </w:r>
    </w:p>
    <w:p w14:paraId="209AFF0B" w14:textId="77777777" w:rsidR="000E4DDC" w:rsidRPr="008B4524" w:rsidRDefault="000E4DDC" w:rsidP="000E4DDC">
      <w:pPr>
        <w:pStyle w:val="ListParagraph"/>
        <w:numPr>
          <w:ilvl w:val="0"/>
          <w:numId w:val="16"/>
        </w:numPr>
        <w:ind w:left="1350"/>
        <w:rPr>
          <w:rFonts w:cstheme="minorHAnsi"/>
        </w:rPr>
      </w:pPr>
      <w:r w:rsidRPr="008B4524">
        <w:rPr>
          <w:rFonts w:cstheme="minorHAnsi"/>
        </w:rPr>
        <w:t>Annexation with the Provision of Services (</w:t>
      </w:r>
      <w:hyperlink r:id="rId8" w:history="1">
        <w:r w:rsidRPr="008B4524">
          <w:rPr>
            <w:rStyle w:val="Hyperlink"/>
            <w:rFonts w:cstheme="minorHAnsi"/>
          </w:rPr>
          <w:t>76-2-4701 et. seq., MCA</w:t>
        </w:r>
      </w:hyperlink>
      <w:r w:rsidRPr="008B4524">
        <w:rPr>
          <w:rFonts w:cstheme="minorHAnsi"/>
        </w:rPr>
        <w:t>)</w:t>
      </w:r>
    </w:p>
    <w:p w14:paraId="75370ED4" w14:textId="77777777" w:rsidR="000E4DDC" w:rsidRPr="008B4524" w:rsidRDefault="000E4DDC" w:rsidP="000E4DDC">
      <w:pPr>
        <w:pStyle w:val="ListParagraph"/>
        <w:numPr>
          <w:ilvl w:val="0"/>
          <w:numId w:val="16"/>
        </w:numPr>
        <w:ind w:left="1350"/>
        <w:rPr>
          <w:rFonts w:cstheme="minorHAnsi"/>
        </w:rPr>
      </w:pPr>
      <w:r w:rsidRPr="008B4524">
        <w:rPr>
          <w:rFonts w:cstheme="minorHAnsi"/>
        </w:rPr>
        <w:t>Annexations of Contiguous Land (</w:t>
      </w:r>
      <w:hyperlink r:id="rId9" w:history="1">
        <w:r w:rsidRPr="008B4524">
          <w:rPr>
            <w:rStyle w:val="Hyperlink"/>
            <w:rFonts w:cstheme="minorHAnsi"/>
          </w:rPr>
          <w:t>76-2-4301 et. seq., MCA</w:t>
        </w:r>
      </w:hyperlink>
      <w:r w:rsidRPr="008B4524">
        <w:rPr>
          <w:rFonts w:cstheme="minorHAnsi"/>
        </w:rPr>
        <w:t>)</w:t>
      </w:r>
    </w:p>
    <w:p w14:paraId="5C40BFF1" w14:textId="77777777" w:rsidR="000E4DDC" w:rsidRPr="008B4524" w:rsidRDefault="000E4DDC" w:rsidP="000E4DDC">
      <w:pPr>
        <w:pStyle w:val="ListParagraph"/>
        <w:numPr>
          <w:ilvl w:val="0"/>
          <w:numId w:val="16"/>
        </w:numPr>
        <w:ind w:left="1350"/>
        <w:rPr>
          <w:rFonts w:cstheme="minorHAnsi"/>
        </w:rPr>
      </w:pPr>
      <w:r w:rsidRPr="008B4524">
        <w:rPr>
          <w:rFonts w:cstheme="minorHAnsi"/>
        </w:rPr>
        <w:t>Annexations of Contiguous Government Land (</w:t>
      </w:r>
      <w:hyperlink r:id="rId10" w:history="1">
        <w:r w:rsidRPr="008B4524">
          <w:rPr>
            <w:rStyle w:val="Hyperlink"/>
            <w:rFonts w:cstheme="minorHAnsi"/>
          </w:rPr>
          <w:t>76-2-4401 et. seq., MCA</w:t>
        </w:r>
      </w:hyperlink>
      <w:r w:rsidRPr="008B4524">
        <w:rPr>
          <w:rFonts w:cstheme="minorHAnsi"/>
        </w:rPr>
        <w:t>)</w:t>
      </w:r>
    </w:p>
    <w:p w14:paraId="3B10742A" w14:textId="77777777" w:rsidR="000E4DDC" w:rsidRPr="008B4524" w:rsidRDefault="000E4DDC" w:rsidP="000E4DDC">
      <w:pPr>
        <w:pStyle w:val="ListParagraph"/>
        <w:numPr>
          <w:ilvl w:val="0"/>
          <w:numId w:val="16"/>
        </w:numPr>
        <w:ind w:left="1350"/>
        <w:rPr>
          <w:rFonts w:cstheme="minorHAnsi"/>
        </w:rPr>
      </w:pPr>
      <w:r w:rsidRPr="008B4524">
        <w:rPr>
          <w:rFonts w:cstheme="minorHAnsi"/>
        </w:rPr>
        <w:t>Annexations of Wholly Surrounded Land (</w:t>
      </w:r>
      <w:hyperlink r:id="rId11" w:history="1">
        <w:r w:rsidRPr="008B4524">
          <w:rPr>
            <w:rStyle w:val="Hyperlink"/>
            <w:rFonts w:cstheme="minorHAnsi"/>
          </w:rPr>
          <w:t>76-2-4501 et. seq., MCA</w:t>
        </w:r>
      </w:hyperlink>
      <w:r w:rsidRPr="008B4524">
        <w:rPr>
          <w:rFonts w:cstheme="minorHAnsi"/>
        </w:rPr>
        <w:t>)</w:t>
      </w:r>
    </w:p>
    <w:p w14:paraId="01455384" w14:textId="77777777" w:rsidR="000E4DDC" w:rsidRPr="008B4524" w:rsidRDefault="000E4DDC" w:rsidP="000E4DDC">
      <w:pPr>
        <w:pStyle w:val="Heading4"/>
        <w:ind w:left="990"/>
        <w:rPr>
          <w:rFonts w:asciiTheme="minorHAnsi" w:hAnsiTheme="minorHAnsi" w:cstheme="minorHAnsi"/>
        </w:rPr>
      </w:pPr>
      <w:r w:rsidRPr="008B4524">
        <w:rPr>
          <w:rFonts w:asciiTheme="minorHAnsi" w:hAnsiTheme="minorHAnsi" w:cstheme="minorHAnsi"/>
        </w:rPr>
        <w:t>What are some conditions for annexation?</w:t>
      </w:r>
    </w:p>
    <w:p w14:paraId="5BA1A3C7" w14:textId="77777777" w:rsidR="000E4DDC" w:rsidRPr="008B4524" w:rsidRDefault="000E4DDC" w:rsidP="000E4DDC">
      <w:pPr>
        <w:ind w:left="990"/>
        <w:rPr>
          <w:rFonts w:cstheme="minorHAnsi"/>
        </w:rPr>
      </w:pPr>
      <w:r w:rsidRPr="008B4524">
        <w:rPr>
          <w:rFonts w:cstheme="minorHAnsi"/>
        </w:rPr>
        <w:t>The city may decide to condition the approval of the annexation. In the case where the property to be annexed is not developed, the conditions of approval includes a requirement for a development agreement prior to the issuance of a building permit. In the event the property is developed and contains public improvements that are not constructed to city standards, the city requires an annexation agreement.  The agreement specifies which public improvements are to be upgraded and/or installed to city standards, and a time period and mechanism to finance the construction and installation of those improvements.  In any case, all public improvements, whether existing or proposed, must meet city standards.</w:t>
      </w:r>
    </w:p>
    <w:p w14:paraId="6314E54E" w14:textId="77777777" w:rsidR="000E4DDC" w:rsidRPr="008B4524" w:rsidRDefault="000E4DDC" w:rsidP="000E4DDC">
      <w:pPr>
        <w:ind w:left="990"/>
        <w:rPr>
          <w:rFonts w:cstheme="minorHAnsi"/>
          <w:u w:val="single"/>
        </w:rPr>
      </w:pPr>
      <w:r w:rsidRPr="008B4524">
        <w:rPr>
          <w:rFonts w:cstheme="minorHAnsi"/>
        </w:rPr>
        <w:t xml:space="preserve">All properties that are annexed into the City of Helena must have gone through the pre-zoning process. For more information about pre-zoning, please click on the following link: </w:t>
      </w:r>
      <w:commentRangeStart w:id="0"/>
      <w:r w:rsidRPr="008B4524">
        <w:rPr>
          <w:rFonts w:cstheme="minorHAnsi"/>
          <w:u w:val="single"/>
        </w:rPr>
        <w:t xml:space="preserve">Zoning </w:t>
      </w:r>
      <w:commentRangeEnd w:id="0"/>
      <w:r w:rsidRPr="008B4524">
        <w:rPr>
          <w:rStyle w:val="CommentReference"/>
          <w:rFonts w:cstheme="minorHAnsi"/>
          <w:sz w:val="22"/>
          <w:szCs w:val="22"/>
        </w:rPr>
        <w:commentReference w:id="0"/>
      </w:r>
    </w:p>
    <w:p w14:paraId="33ADC8BD" w14:textId="77777777" w:rsidR="000E4DDC" w:rsidRPr="008B4524" w:rsidRDefault="000E4DDC" w:rsidP="000E4DDC">
      <w:pPr>
        <w:pStyle w:val="Heading4"/>
        <w:ind w:left="990"/>
        <w:rPr>
          <w:rFonts w:asciiTheme="minorHAnsi" w:hAnsiTheme="minorHAnsi" w:cstheme="minorHAnsi"/>
          <w:shd w:val="clear" w:color="auto" w:fill="FFFFFF"/>
        </w:rPr>
      </w:pPr>
      <w:r w:rsidRPr="008B4524">
        <w:rPr>
          <w:rFonts w:asciiTheme="minorHAnsi" w:hAnsiTheme="minorHAnsi" w:cstheme="minorHAnsi"/>
          <w:shd w:val="clear" w:color="auto" w:fill="FFFFFF"/>
        </w:rPr>
        <w:t>What is a Subdivision?</w:t>
      </w:r>
    </w:p>
    <w:p w14:paraId="2CFAC79D" w14:textId="77777777" w:rsidR="000E4DDC" w:rsidRPr="008B4524" w:rsidRDefault="000E4DDC" w:rsidP="000E4DDC">
      <w:pPr>
        <w:pStyle w:val="NormalWeb"/>
        <w:shd w:val="clear" w:color="auto" w:fill="FFFFFF"/>
        <w:spacing w:before="0" w:beforeAutospacing="0" w:after="150" w:afterAutospacing="0"/>
        <w:ind w:left="990"/>
        <w:rPr>
          <w:rFonts w:asciiTheme="minorHAnsi" w:hAnsiTheme="minorHAnsi" w:cstheme="minorHAnsi"/>
          <w:color w:val="333333"/>
          <w:spacing w:val="3"/>
          <w:sz w:val="22"/>
          <w:szCs w:val="22"/>
        </w:rPr>
      </w:pPr>
      <w:r w:rsidRPr="008B4524">
        <w:rPr>
          <w:rFonts w:asciiTheme="minorHAnsi" w:hAnsiTheme="minorHAnsi" w:cstheme="minorHAnsi"/>
          <w:color w:val="333333"/>
          <w:spacing w:val="3"/>
          <w:sz w:val="22"/>
          <w:szCs w:val="22"/>
        </w:rPr>
        <w:t>MCA 76-3-103 defines a </w:t>
      </w:r>
      <w:r w:rsidRPr="008B4524">
        <w:rPr>
          <w:rFonts w:asciiTheme="minorHAnsi" w:hAnsiTheme="minorHAnsi" w:cstheme="minorHAnsi"/>
          <w:i/>
          <w:iCs/>
          <w:color w:val="333333"/>
          <w:spacing w:val="3"/>
          <w:sz w:val="22"/>
          <w:szCs w:val="22"/>
        </w:rPr>
        <w:t>subdivision as</w:t>
      </w:r>
      <w:r w:rsidRPr="008B4524">
        <w:rPr>
          <w:rFonts w:asciiTheme="minorHAnsi" w:hAnsiTheme="minorHAnsi" w:cstheme="minorHAnsi"/>
          <w:color w:val="333333"/>
          <w:spacing w:val="3"/>
          <w:sz w:val="22"/>
          <w:szCs w:val="22"/>
        </w:rPr>
        <w:t> the division of a piece of land into two or more lots. The regulations are set forth in the City of Helena SUBDIVISION ORDINANCE, Title 12 of </w:t>
      </w:r>
      <w:hyperlink r:id="rId15" w:tgtFrame="_blank" w:tooltip="Opens external link in new window" w:history="1">
        <w:r w:rsidRPr="008B4524">
          <w:rPr>
            <w:rStyle w:val="Hyperlink"/>
            <w:rFonts w:asciiTheme="minorHAnsi" w:eastAsiaTheme="majorEastAsia" w:hAnsiTheme="minorHAnsi" w:cstheme="minorHAnsi"/>
            <w:color w:val="337AB7"/>
            <w:spacing w:val="3"/>
            <w:sz w:val="22"/>
            <w:szCs w:val="22"/>
          </w:rPr>
          <w:t>Helena City Code</w:t>
        </w:r>
      </w:hyperlink>
      <w:r w:rsidRPr="008B4524">
        <w:rPr>
          <w:rFonts w:asciiTheme="minorHAnsi" w:hAnsiTheme="minorHAnsi" w:cstheme="minorHAnsi"/>
          <w:color w:val="333333"/>
          <w:spacing w:val="3"/>
          <w:sz w:val="22"/>
          <w:szCs w:val="22"/>
        </w:rPr>
        <w:t>.</w:t>
      </w:r>
    </w:p>
    <w:p w14:paraId="2BC89A6B" w14:textId="77777777" w:rsidR="000E4DDC" w:rsidRPr="008B4524" w:rsidRDefault="000E4DDC" w:rsidP="000E4DDC">
      <w:pPr>
        <w:pStyle w:val="NormalWeb"/>
        <w:shd w:val="clear" w:color="auto" w:fill="FFFFFF"/>
        <w:spacing w:before="0" w:beforeAutospacing="0" w:after="150" w:afterAutospacing="0"/>
        <w:ind w:left="990"/>
        <w:rPr>
          <w:rFonts w:asciiTheme="minorHAnsi" w:hAnsiTheme="minorHAnsi" w:cstheme="minorHAnsi"/>
          <w:color w:val="333333"/>
          <w:spacing w:val="3"/>
          <w:sz w:val="22"/>
          <w:szCs w:val="22"/>
        </w:rPr>
      </w:pPr>
      <w:r w:rsidRPr="008B4524">
        <w:rPr>
          <w:rFonts w:asciiTheme="minorHAnsi" w:hAnsiTheme="minorHAnsi" w:cstheme="minorHAnsi"/>
          <w:color w:val="333333"/>
          <w:spacing w:val="3"/>
          <w:sz w:val="22"/>
          <w:szCs w:val="22"/>
        </w:rPr>
        <w:t>The purpose of this title is to establish a subdivision review process that is designed to achieve the objectives of the Montana Subdivision and Platting Act, Title 76, Chapter 3,</w:t>
      </w:r>
      <w:hyperlink r:id="rId16" w:tgtFrame="_blank" w:tooltip="Opens internal link in current window" w:history="1">
        <w:r w:rsidRPr="008B4524">
          <w:rPr>
            <w:rStyle w:val="Hyperlink"/>
            <w:rFonts w:asciiTheme="minorHAnsi" w:eastAsiaTheme="majorEastAsia" w:hAnsiTheme="minorHAnsi" w:cstheme="minorHAnsi"/>
            <w:color w:val="337AB7"/>
            <w:spacing w:val="3"/>
            <w:sz w:val="22"/>
            <w:szCs w:val="22"/>
          </w:rPr>
          <w:t> Montana Code Annotated </w:t>
        </w:r>
      </w:hyperlink>
      <w:r w:rsidRPr="008B4524">
        <w:rPr>
          <w:rFonts w:asciiTheme="minorHAnsi" w:hAnsiTheme="minorHAnsi" w:cstheme="minorHAnsi"/>
          <w:color w:val="333333"/>
          <w:spacing w:val="3"/>
          <w:sz w:val="22"/>
          <w:szCs w:val="22"/>
        </w:rPr>
        <w:t>(MCA). The process of dividing land into parcels is a necessary and important function in the growth of a community. When, where, and how development occurs establishes land division patterns for the community that will last for generations. The subdivision review process allows the community to take a close look at proposed developments before final action by the governing body. The City of Helena 2001 Growth Policy provides guidance for subdivision reviews. (Title 12-1-2)</w:t>
      </w:r>
    </w:p>
    <w:p w14:paraId="49D8C02E" w14:textId="77777777" w:rsidR="000E4DDC" w:rsidRPr="008B4524" w:rsidRDefault="000E4DDC" w:rsidP="000E4DDC">
      <w:pPr>
        <w:pStyle w:val="Heading4"/>
        <w:ind w:left="990"/>
        <w:rPr>
          <w:rFonts w:asciiTheme="minorHAnsi" w:hAnsiTheme="minorHAnsi" w:cstheme="minorHAnsi"/>
        </w:rPr>
      </w:pPr>
      <w:r w:rsidRPr="008B4524">
        <w:rPr>
          <w:rFonts w:asciiTheme="minorHAnsi" w:hAnsiTheme="minorHAnsi" w:cstheme="minorHAnsi"/>
        </w:rPr>
        <w:t>What is a Zoning Variance?</w:t>
      </w:r>
      <w:bookmarkStart w:id="1" w:name="_GoBack"/>
      <w:bookmarkEnd w:id="1"/>
    </w:p>
    <w:p w14:paraId="1B517F3A" w14:textId="77777777" w:rsidR="000E4DDC" w:rsidRPr="008B4524" w:rsidRDefault="000E4DDC" w:rsidP="000E4DDC">
      <w:pPr>
        <w:ind w:left="990"/>
        <w:rPr>
          <w:rFonts w:cstheme="minorHAnsi"/>
        </w:rPr>
      </w:pPr>
      <w:r w:rsidRPr="008B4524">
        <w:rPr>
          <w:rFonts w:cstheme="minorHAnsi"/>
          <w:color w:val="333333"/>
          <w:spacing w:val="3"/>
          <w:shd w:val="clear" w:color="auto" w:fill="FFFFFF"/>
        </w:rPr>
        <w:t>Provisions of 11-5 of the </w:t>
      </w:r>
      <w:hyperlink r:id="rId17" w:tgtFrame="_blank" w:tooltip="Opens external link in new window" w:history="1">
        <w:r w:rsidRPr="008B4524">
          <w:rPr>
            <w:rStyle w:val="Hyperlink"/>
            <w:rFonts w:cstheme="minorHAnsi"/>
            <w:color w:val="337AB7"/>
            <w:spacing w:val="3"/>
            <w:shd w:val="clear" w:color="auto" w:fill="FFFFFF"/>
          </w:rPr>
          <w:t>Helena City Code</w:t>
        </w:r>
      </w:hyperlink>
      <w:r w:rsidRPr="008B4524">
        <w:rPr>
          <w:rFonts w:cstheme="minorHAnsi"/>
          <w:color w:val="333333"/>
          <w:spacing w:val="3"/>
          <w:shd w:val="clear" w:color="auto" w:fill="FFFFFF"/>
        </w:rPr>
        <w:t> allow for zoning variances to be requested by any property owner for a variance from the zoning regulations affecting his or her property. This process is intended to be special exceptions to the terms of this title when granted in harmony with its general purposes and intent and are intended to avoid undue hardship when strict and literal enforcement of this title is inappropriate.  The city of Helena Board of Adjustment holds monthly public hearings to review zoning variance requests.</w:t>
      </w:r>
    </w:p>
    <w:p w14:paraId="208A97BC" w14:textId="77777777" w:rsidR="000E4DDC" w:rsidRPr="00743D3A" w:rsidRDefault="000E4DDC" w:rsidP="000E4DDC"/>
    <w:p w14:paraId="7FEBBB98" w14:textId="77777777" w:rsidR="000E4DDC" w:rsidRPr="00CA40A3" w:rsidRDefault="000E4DDC" w:rsidP="000E4DDC">
      <w:pPr>
        <w:ind w:left="720"/>
      </w:pPr>
    </w:p>
    <w:p w14:paraId="1A57C53A" w14:textId="77777777" w:rsidR="00D741B5" w:rsidRPr="00881870" w:rsidRDefault="00D741B5" w:rsidP="00881870"/>
    <w:sectPr w:rsidR="00D741B5" w:rsidRPr="008818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fani Reinhardt" w:date="2019-10-09T16:04:00Z" w:initials="SR">
    <w:p w14:paraId="1188AE2F" w14:textId="77777777" w:rsidR="000E4DDC" w:rsidRDefault="000E4DDC" w:rsidP="000E4DDC">
      <w:pPr>
        <w:pStyle w:val="CommentText"/>
      </w:pPr>
      <w:r>
        <w:rPr>
          <w:rStyle w:val="CommentReference"/>
        </w:rPr>
        <w:annotationRef/>
      </w:r>
      <w:r>
        <w:t>Link to Zoning Main Page located in the Planning Division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8AE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8AE2F" w16cid:durableId="214883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D97"/>
    <w:multiLevelType w:val="hybridMultilevel"/>
    <w:tmpl w:val="8BBE9544"/>
    <w:lvl w:ilvl="0" w:tplc="451A61A6">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3297706"/>
    <w:multiLevelType w:val="multilevel"/>
    <w:tmpl w:val="D170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32C2"/>
    <w:multiLevelType w:val="multilevel"/>
    <w:tmpl w:val="194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1545"/>
    <w:multiLevelType w:val="hybridMultilevel"/>
    <w:tmpl w:val="CFCC7F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01ECE"/>
    <w:multiLevelType w:val="hybridMultilevel"/>
    <w:tmpl w:val="E4F2C28A"/>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3071"/>
    <w:multiLevelType w:val="multilevel"/>
    <w:tmpl w:val="36B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7D6B"/>
    <w:multiLevelType w:val="hybridMultilevel"/>
    <w:tmpl w:val="918C44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C245F"/>
    <w:multiLevelType w:val="hybridMultilevel"/>
    <w:tmpl w:val="01BA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F50667"/>
    <w:multiLevelType w:val="hybridMultilevel"/>
    <w:tmpl w:val="9D26465A"/>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51380"/>
    <w:multiLevelType w:val="hybridMultilevel"/>
    <w:tmpl w:val="F34EBE52"/>
    <w:lvl w:ilvl="0" w:tplc="451A61A6">
      <w:numFmt w:val="bullet"/>
      <w:lvlText w:val="•"/>
      <w:lvlJc w:val="left"/>
      <w:pPr>
        <w:ind w:left="1980" w:hanging="360"/>
      </w:pPr>
      <w:rPr>
        <w:rFonts w:ascii="Calibri" w:eastAsiaTheme="minorHAnsi" w:hAnsi="Calibri" w:cs="Calibr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B7201BB"/>
    <w:multiLevelType w:val="hybridMultilevel"/>
    <w:tmpl w:val="1B62C792"/>
    <w:lvl w:ilvl="0" w:tplc="2CB0A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A3475"/>
    <w:multiLevelType w:val="hybridMultilevel"/>
    <w:tmpl w:val="73447B8C"/>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872FF3"/>
    <w:multiLevelType w:val="hybridMultilevel"/>
    <w:tmpl w:val="84867324"/>
    <w:lvl w:ilvl="0" w:tplc="451A6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0F23"/>
    <w:multiLevelType w:val="hybridMultilevel"/>
    <w:tmpl w:val="C50C13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6CC6D32"/>
    <w:multiLevelType w:val="multilevel"/>
    <w:tmpl w:val="DE4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97221"/>
    <w:multiLevelType w:val="hybridMultilevel"/>
    <w:tmpl w:val="C00E7240"/>
    <w:lvl w:ilvl="0" w:tplc="451A61A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0779A2"/>
    <w:multiLevelType w:val="hybridMultilevel"/>
    <w:tmpl w:val="B1965712"/>
    <w:lvl w:ilvl="0" w:tplc="451A61A6">
      <w:numFmt w:val="bullet"/>
      <w:lvlText w:val="•"/>
      <w:lvlJc w:val="left"/>
      <w:pPr>
        <w:ind w:left="2520" w:hanging="360"/>
      </w:pPr>
      <w:rPr>
        <w:rFonts w:ascii="Calibri" w:eastAsiaTheme="minorHAnsi" w:hAnsi="Calibri" w:cs="Calibri" w:hint="default"/>
      </w:rPr>
    </w:lvl>
    <w:lvl w:ilvl="1" w:tplc="451A61A6">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1B5466"/>
    <w:multiLevelType w:val="hybridMultilevel"/>
    <w:tmpl w:val="0A1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23F11"/>
    <w:multiLevelType w:val="multilevel"/>
    <w:tmpl w:val="41A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07B4A"/>
    <w:multiLevelType w:val="hybridMultilevel"/>
    <w:tmpl w:val="9DA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B58E7"/>
    <w:multiLevelType w:val="hybridMultilevel"/>
    <w:tmpl w:val="F4703098"/>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1640D9"/>
    <w:multiLevelType w:val="hybridMultilevel"/>
    <w:tmpl w:val="0868D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0B68CC"/>
    <w:multiLevelType w:val="hybridMultilevel"/>
    <w:tmpl w:val="CAAE2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8B7C90"/>
    <w:multiLevelType w:val="hybridMultilevel"/>
    <w:tmpl w:val="C548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04FBD"/>
    <w:multiLevelType w:val="hybridMultilevel"/>
    <w:tmpl w:val="B60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17DDE"/>
    <w:multiLevelType w:val="hybridMultilevel"/>
    <w:tmpl w:val="FDDEB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A04319"/>
    <w:multiLevelType w:val="hybridMultilevel"/>
    <w:tmpl w:val="97CAAFD2"/>
    <w:lvl w:ilvl="0" w:tplc="A7ECB55A">
      <w:start w:val="1"/>
      <w:numFmt w:val="decimal"/>
      <w:lvlText w:val="%1."/>
      <w:lvlJc w:val="left"/>
      <w:pPr>
        <w:ind w:left="1504"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102CB"/>
    <w:multiLevelType w:val="hybridMultilevel"/>
    <w:tmpl w:val="C158BEE2"/>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B229A"/>
    <w:multiLevelType w:val="hybridMultilevel"/>
    <w:tmpl w:val="5A2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A2FA7"/>
    <w:multiLevelType w:val="hybridMultilevel"/>
    <w:tmpl w:val="AE207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A6127F"/>
    <w:multiLevelType w:val="hybridMultilevel"/>
    <w:tmpl w:val="D30024EE"/>
    <w:lvl w:ilvl="0" w:tplc="451A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4133BB"/>
    <w:multiLevelType w:val="hybridMultilevel"/>
    <w:tmpl w:val="945C2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37503A"/>
    <w:multiLevelType w:val="hybridMultilevel"/>
    <w:tmpl w:val="0CA09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215EBC"/>
    <w:multiLevelType w:val="hybridMultilevel"/>
    <w:tmpl w:val="537873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28"/>
  </w:num>
  <w:num w:numId="3">
    <w:abstractNumId w:val="24"/>
  </w:num>
  <w:num w:numId="4">
    <w:abstractNumId w:val="6"/>
  </w:num>
  <w:num w:numId="5">
    <w:abstractNumId w:val="31"/>
  </w:num>
  <w:num w:numId="6">
    <w:abstractNumId w:val="13"/>
  </w:num>
  <w:num w:numId="7">
    <w:abstractNumId w:val="21"/>
  </w:num>
  <w:num w:numId="8">
    <w:abstractNumId w:val="32"/>
  </w:num>
  <w:num w:numId="9">
    <w:abstractNumId w:val="3"/>
  </w:num>
  <w:num w:numId="10">
    <w:abstractNumId w:val="22"/>
  </w:num>
  <w:num w:numId="11">
    <w:abstractNumId w:val="29"/>
  </w:num>
  <w:num w:numId="12">
    <w:abstractNumId w:val="19"/>
  </w:num>
  <w:num w:numId="13">
    <w:abstractNumId w:val="25"/>
  </w:num>
  <w:num w:numId="14">
    <w:abstractNumId w:val="7"/>
  </w:num>
  <w:num w:numId="15">
    <w:abstractNumId w:val="10"/>
  </w:num>
  <w:num w:numId="16">
    <w:abstractNumId w:val="17"/>
  </w:num>
  <w:num w:numId="17">
    <w:abstractNumId w:val="23"/>
  </w:num>
  <w:num w:numId="18">
    <w:abstractNumId w:val="33"/>
  </w:num>
  <w:num w:numId="19">
    <w:abstractNumId w:val="8"/>
  </w:num>
  <w:num w:numId="20">
    <w:abstractNumId w:val="30"/>
  </w:num>
  <w:num w:numId="21">
    <w:abstractNumId w:val="27"/>
  </w:num>
  <w:num w:numId="22">
    <w:abstractNumId w:val="16"/>
  </w:num>
  <w:num w:numId="23">
    <w:abstractNumId w:val="15"/>
  </w:num>
  <w:num w:numId="24">
    <w:abstractNumId w:val="12"/>
  </w:num>
  <w:num w:numId="25">
    <w:abstractNumId w:val="9"/>
  </w:num>
  <w:num w:numId="26">
    <w:abstractNumId w:val="0"/>
  </w:num>
  <w:num w:numId="27">
    <w:abstractNumId w:val="18"/>
  </w:num>
  <w:num w:numId="28">
    <w:abstractNumId w:val="1"/>
  </w:num>
  <w:num w:numId="29">
    <w:abstractNumId w:val="14"/>
  </w:num>
  <w:num w:numId="30">
    <w:abstractNumId w:val="5"/>
  </w:num>
  <w:num w:numId="31">
    <w:abstractNumId w:val="26"/>
  </w:num>
  <w:num w:numId="32">
    <w:abstractNumId w:val="20"/>
  </w:num>
  <w:num w:numId="33">
    <w:abstractNumId w:val="4"/>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i Reinhardt">
    <w15:presenceInfo w15:providerId="AD" w15:userId="S::SREINHARDT@helenamt.gov::49b76e07-b0b2-43e5-82e6-ead97ee59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04"/>
    <w:rsid w:val="000E4DDC"/>
    <w:rsid w:val="00102955"/>
    <w:rsid w:val="00163A2D"/>
    <w:rsid w:val="001E2FAB"/>
    <w:rsid w:val="003E0840"/>
    <w:rsid w:val="00755144"/>
    <w:rsid w:val="007A0E04"/>
    <w:rsid w:val="00881870"/>
    <w:rsid w:val="00BE7E8B"/>
    <w:rsid w:val="00D741B5"/>
    <w:rsid w:val="00F2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5595"/>
  <w15:chartTrackingRefBased/>
  <w15:docId w15:val="{E333C026-B05E-4346-9E3B-0CD4F757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DC"/>
  </w:style>
  <w:style w:type="paragraph" w:styleId="Heading1">
    <w:name w:val="heading 1"/>
    <w:basedOn w:val="Normal"/>
    <w:next w:val="Normal"/>
    <w:link w:val="Heading1Char"/>
    <w:uiPriority w:val="9"/>
    <w:qFormat/>
    <w:rsid w:val="00F23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0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6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36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E0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A0E04"/>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A0E04"/>
    <w:rPr>
      <w:i/>
      <w:iCs/>
      <w:color w:val="404040" w:themeColor="text1" w:themeTint="BF"/>
    </w:rPr>
  </w:style>
  <w:style w:type="paragraph" w:styleId="Subtitle">
    <w:name w:val="Subtitle"/>
    <w:basedOn w:val="Normal"/>
    <w:next w:val="Normal"/>
    <w:link w:val="SubtitleChar"/>
    <w:uiPriority w:val="11"/>
    <w:qFormat/>
    <w:rsid w:val="007A0E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0E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2369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36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369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23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69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2369B"/>
    <w:rPr>
      <w:i/>
      <w:iCs/>
    </w:rPr>
  </w:style>
  <w:style w:type="character" w:styleId="Hyperlink">
    <w:name w:val="Hyperlink"/>
    <w:basedOn w:val="DefaultParagraphFont"/>
    <w:uiPriority w:val="99"/>
    <w:unhideWhenUsed/>
    <w:rsid w:val="00F2369B"/>
    <w:rPr>
      <w:color w:val="0000FF"/>
      <w:u w:val="single"/>
    </w:rPr>
  </w:style>
  <w:style w:type="paragraph" w:styleId="ListParagraph">
    <w:name w:val="List Paragraph"/>
    <w:basedOn w:val="Normal"/>
    <w:uiPriority w:val="34"/>
    <w:qFormat/>
    <w:rsid w:val="00F2369B"/>
    <w:pPr>
      <w:ind w:left="720"/>
      <w:contextualSpacing/>
    </w:pPr>
  </w:style>
  <w:style w:type="paragraph" w:styleId="BalloonText">
    <w:name w:val="Balloon Text"/>
    <w:basedOn w:val="Normal"/>
    <w:link w:val="BalloonTextChar"/>
    <w:uiPriority w:val="99"/>
    <w:semiHidden/>
    <w:unhideWhenUsed/>
    <w:rsid w:val="00F2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69B"/>
    <w:rPr>
      <w:rFonts w:ascii="Segoe UI" w:hAnsi="Segoe UI" w:cs="Segoe UI"/>
      <w:sz w:val="18"/>
      <w:szCs w:val="18"/>
    </w:rPr>
  </w:style>
  <w:style w:type="paragraph" w:styleId="IntenseQuote">
    <w:name w:val="Intense Quote"/>
    <w:basedOn w:val="Normal"/>
    <w:next w:val="Normal"/>
    <w:link w:val="IntenseQuoteChar"/>
    <w:uiPriority w:val="30"/>
    <w:qFormat/>
    <w:rsid w:val="00F236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369B"/>
    <w:rPr>
      <w:i/>
      <w:iCs/>
      <w:color w:val="4472C4" w:themeColor="accent1"/>
    </w:rPr>
  </w:style>
  <w:style w:type="table" w:styleId="TableGrid">
    <w:name w:val="Table Grid"/>
    <w:basedOn w:val="TableNormal"/>
    <w:uiPriority w:val="39"/>
    <w:rsid w:val="00F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69B"/>
    <w:rPr>
      <w:color w:val="605E5C"/>
      <w:shd w:val="clear" w:color="auto" w:fill="E1DFDD"/>
    </w:rPr>
  </w:style>
  <w:style w:type="character" w:styleId="FollowedHyperlink">
    <w:name w:val="FollowedHyperlink"/>
    <w:basedOn w:val="DefaultParagraphFont"/>
    <w:uiPriority w:val="99"/>
    <w:semiHidden/>
    <w:unhideWhenUsed/>
    <w:rsid w:val="00F2369B"/>
    <w:rPr>
      <w:color w:val="954F72" w:themeColor="followedHyperlink"/>
      <w:u w:val="single"/>
    </w:rPr>
  </w:style>
  <w:style w:type="paragraph" w:styleId="Revision">
    <w:name w:val="Revision"/>
    <w:hidden/>
    <w:uiPriority w:val="99"/>
    <w:semiHidden/>
    <w:rsid w:val="00F2369B"/>
    <w:pPr>
      <w:spacing w:after="0" w:line="240" w:lineRule="auto"/>
    </w:pPr>
  </w:style>
  <w:style w:type="character" w:styleId="CommentReference">
    <w:name w:val="annotation reference"/>
    <w:basedOn w:val="DefaultParagraphFont"/>
    <w:uiPriority w:val="99"/>
    <w:semiHidden/>
    <w:unhideWhenUsed/>
    <w:rsid w:val="00F2369B"/>
    <w:rPr>
      <w:sz w:val="16"/>
      <w:szCs w:val="16"/>
    </w:rPr>
  </w:style>
  <w:style w:type="paragraph" w:styleId="CommentText">
    <w:name w:val="annotation text"/>
    <w:basedOn w:val="Normal"/>
    <w:link w:val="CommentTextChar"/>
    <w:uiPriority w:val="99"/>
    <w:semiHidden/>
    <w:unhideWhenUsed/>
    <w:rsid w:val="00F2369B"/>
    <w:pPr>
      <w:spacing w:line="240" w:lineRule="auto"/>
    </w:pPr>
    <w:rPr>
      <w:sz w:val="20"/>
      <w:szCs w:val="20"/>
    </w:rPr>
  </w:style>
  <w:style w:type="character" w:customStyle="1" w:styleId="CommentTextChar">
    <w:name w:val="Comment Text Char"/>
    <w:basedOn w:val="DefaultParagraphFont"/>
    <w:link w:val="CommentText"/>
    <w:uiPriority w:val="99"/>
    <w:semiHidden/>
    <w:rsid w:val="00F2369B"/>
    <w:rPr>
      <w:sz w:val="20"/>
      <w:szCs w:val="20"/>
    </w:rPr>
  </w:style>
  <w:style w:type="paragraph" w:styleId="CommentSubject">
    <w:name w:val="annotation subject"/>
    <w:basedOn w:val="CommentText"/>
    <w:next w:val="CommentText"/>
    <w:link w:val="CommentSubjectChar"/>
    <w:uiPriority w:val="99"/>
    <w:semiHidden/>
    <w:unhideWhenUsed/>
    <w:rsid w:val="00F2369B"/>
    <w:rPr>
      <w:b/>
      <w:bCs/>
    </w:rPr>
  </w:style>
  <w:style w:type="character" w:customStyle="1" w:styleId="CommentSubjectChar">
    <w:name w:val="Comment Subject Char"/>
    <w:basedOn w:val="CommentTextChar"/>
    <w:link w:val="CommentSubject"/>
    <w:uiPriority w:val="99"/>
    <w:semiHidden/>
    <w:rsid w:val="00F2369B"/>
    <w:rPr>
      <w:b/>
      <w:bCs/>
      <w:sz w:val="20"/>
      <w:szCs w:val="20"/>
    </w:rPr>
  </w:style>
  <w:style w:type="paragraph" w:styleId="Header">
    <w:name w:val="header"/>
    <w:basedOn w:val="Normal"/>
    <w:link w:val="HeaderChar"/>
    <w:uiPriority w:val="99"/>
    <w:unhideWhenUsed/>
    <w:rsid w:val="00F2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9B"/>
  </w:style>
  <w:style w:type="paragraph" w:styleId="Footer">
    <w:name w:val="footer"/>
    <w:basedOn w:val="Normal"/>
    <w:link w:val="FooterChar"/>
    <w:uiPriority w:val="99"/>
    <w:unhideWhenUsed/>
    <w:rsid w:val="00F2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9B"/>
  </w:style>
  <w:style w:type="character" w:styleId="HTMLCite">
    <w:name w:val="HTML Cite"/>
    <w:basedOn w:val="DefaultParagraphFont"/>
    <w:uiPriority w:val="99"/>
    <w:semiHidden/>
    <w:unhideWhenUsed/>
    <w:rsid w:val="00F2369B"/>
    <w:rPr>
      <w:i/>
      <w:iCs/>
    </w:rPr>
  </w:style>
  <w:style w:type="character" w:styleId="Strong">
    <w:name w:val="Strong"/>
    <w:basedOn w:val="DefaultParagraphFont"/>
    <w:uiPriority w:val="22"/>
    <w:qFormat/>
    <w:rsid w:val="00F23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mt.gov/bills/mca/7/2/7-2-4705.ht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mt.gov/bills/mca/title_0070/chapter_0020/part_0420/section_0010/0070-0020-0420-0010.html" TargetMode="External"/><Relationship Id="rId12" Type="http://schemas.openxmlformats.org/officeDocument/2006/relationships/comments" Target="comments.xml"/><Relationship Id="rId17" Type="http://schemas.openxmlformats.org/officeDocument/2006/relationships/hyperlink" Target="http://www.sterlingcodifiers.com/codebook/index.php?book_id=401" TargetMode="External"/><Relationship Id="rId2" Type="http://schemas.openxmlformats.org/officeDocument/2006/relationships/styles" Target="styles.xml"/><Relationship Id="rId16" Type="http://schemas.openxmlformats.org/officeDocument/2006/relationships/hyperlink" Target="http://leg.mt.gov/bills/mca/title_0760/chapter_0030/parts_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erlingcodifiers.com/codebook/index.php?book_id=401" TargetMode="External"/><Relationship Id="rId11" Type="http://schemas.openxmlformats.org/officeDocument/2006/relationships/hyperlink" Target="https://leg.mt.gov/bills/mca/7/2/7-2-4501.htm" TargetMode="External"/><Relationship Id="rId5" Type="http://schemas.openxmlformats.org/officeDocument/2006/relationships/hyperlink" Target="https://leg.mt.gov/bills/mca/7/2/7-2-4601.htm" TargetMode="External"/><Relationship Id="rId15" Type="http://schemas.openxmlformats.org/officeDocument/2006/relationships/hyperlink" Target="http://www.sterlingcodifiers.com/codebook/index.php?book_id=401" TargetMode="External"/><Relationship Id="rId10" Type="http://schemas.openxmlformats.org/officeDocument/2006/relationships/hyperlink" Target="https://leg.mt.gov/bills/mca_toc/7_2_44.ht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leg.mt.gov/bills/mca/title_0070/chapter_0020/part_0430/section_0010/0070-0020-0430-0010.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Reinhardt</dc:creator>
  <cp:keywords/>
  <dc:description/>
  <cp:lastModifiedBy>Stefani Reinhardt</cp:lastModifiedBy>
  <cp:revision>2</cp:revision>
  <dcterms:created xsi:type="dcterms:W3CDTF">2019-10-12T00:13:00Z</dcterms:created>
  <dcterms:modified xsi:type="dcterms:W3CDTF">2019-10-12T00:13:00Z</dcterms:modified>
</cp:coreProperties>
</file>